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114學年度第一學期【高二】第三次段考範圍</w:t>
      </w: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7655"/>
        <w:tblGridChange w:id="0">
          <w:tblGrid>
            <w:gridCol w:w="2410"/>
            <w:gridCol w:w="7655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段考範圍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*[國文課本] [補充講義] [語練] [加深加廣]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9新詩選(狼之獨步、愛的辯證)、10燭之武退秦師、11真愛、中華文化基本教材(三) 墨韓選讀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*[補充文選]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5坤伶(新詩選)、6左忠毅公逸事、7非連續文本[國民幸福指數與世界幸福報告]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*[十五核心古文]台灣女性古典詩文選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*[古今閱讀一百]人文歷史(21-30回)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1. textbook L7-9, </w:t>
              <w:br w:type="textWrapping"/>
              <w:t xml:space="preserve"> 2. Let’s GO chapter 3,           </w:t>
              <w:br w:type="textWrapping"/>
              <w:t xml:space="preserve"> 3. Nov. week one-four, and Dec. week one, studio classroom.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英聽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英聽：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Nov. week one-four, and Dec. week one, studio classroom.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數學A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第三章 平面向量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數學B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(孝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和數B學群)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第三章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選修物理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(仁-忠)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Ch5-Ch6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選修化學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(仁-忠)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第三章全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選修生物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(仁-禮)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4-2~5-2(含第一、二次段考卷)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歷史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第三冊序篇～第三章伊斯蘭世界與西方的互動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地理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(仁義禮智)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龍騰版第三冊CH6中南美洲、CH7全球化、CH0B漠南非洲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公民與社會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(信忠孝和)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第四課第四節、第五～第六課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993" w:left="1531" w:right="153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DFKai-SB"/>
  <w:font w:name="Times New Roman"/>
  <w:font w:name="Arial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超連結">
    <w:name w:val="超連結"/>
    <w:next w:val="超連結"/>
    <w:autoRedefine w:val="0"/>
    <w:hidden w:val="0"/>
    <w:qFormat w:val="0"/>
    <w:rPr>
      <w:color w:val="0000ee"/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內文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預設段落字型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RlPh2EyHJgZRyfHRMuDvNn2tEg==">CgMxLjA4AHIhMXBNTi1QNENjYkgxMWYzYzRTT1hpdl80cjZ3YUw1V0lI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2020-09-25T05:32:00Z</dcterms:created>
  <dc:creator>Administrator</dc:creator>
</cp:coreProperties>
</file>